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4E" w:rsidRPr="009E684E" w:rsidRDefault="009E684E" w:rsidP="009E684E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</w:p>
    <w:p w:rsidR="009E684E" w:rsidRPr="009E684E" w:rsidRDefault="009E684E" w:rsidP="009E684E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68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трудовой кодекс</w:t>
      </w:r>
    </w:p>
    <w:bookmarkEnd w:id="0"/>
    <w:p w:rsidR="009E684E" w:rsidRPr="009E684E" w:rsidRDefault="009E684E" w:rsidP="009E684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84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09.11.2020 № 362-ФЗ внесены изменения в Трудовой кодекс Российской Федерации, дополнив ст. 144 ТК РФ, устанавливающую системы оплаты труда работников государственных и муниципальных учреждений частями 8 и 9.</w:t>
      </w:r>
    </w:p>
    <w:p w:rsidR="009E684E" w:rsidRPr="009E684E" w:rsidRDefault="009E684E" w:rsidP="009E684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84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новых норм трудового законодательства Правительство Российской Федерации вправе утверждать требования к системам оплаты труда работников государственных и муниципальных учреждений, в том числе в части установления (дифференциации) окладов (должностных окладов), ставок заработной платы, перечней выплат компенсационного характера, стимулирующих выплат, условий назначения выплат компенсационного характера, стимулирующих выплат.</w:t>
      </w:r>
    </w:p>
    <w:p w:rsidR="009E684E" w:rsidRPr="009E684E" w:rsidRDefault="009E684E" w:rsidP="009E684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8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утверждении Правительством Российской Федерации требований к системам оплаты труда работников государственных и муниципальных учреждений определяется сфера деятельности государственных и муниципальных учреждений, на которые распространяются указанные требования, а также срок, в течение которого таким учреждениям необходимо привести условия оплаты труда работников в соответствие с указанными требованиями.</w:t>
      </w:r>
    </w:p>
    <w:p w:rsidR="009E684E" w:rsidRPr="009E684E" w:rsidRDefault="009E684E" w:rsidP="009E684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изменения коснулись </w:t>
      </w:r>
      <w:proofErr w:type="spellStart"/>
      <w:r w:rsidRPr="009E684E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9E684E">
        <w:rPr>
          <w:rFonts w:ascii="Times New Roman" w:eastAsia="Times New Roman" w:hAnsi="Times New Roman" w:cs="Times New Roman"/>
          <w:sz w:val="24"/>
          <w:szCs w:val="24"/>
          <w:lang w:eastAsia="ru-RU"/>
        </w:rPr>
        <w:t>. 332.1, 336.2 ТК РФ регламентирующие заключения и прекращения трудового договора с руководителями, заместителями руководителей государственных и муниципальных образовательных организаций высшего образования и руководителями их филиалов и соответственно руководителями, заместителями руководителей государственных и муниципальных научных организаций и руководителями их филиалов.</w:t>
      </w:r>
    </w:p>
    <w:p w:rsidR="009E684E" w:rsidRPr="009E684E" w:rsidRDefault="009E684E" w:rsidP="009E684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8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согласно новой редакции, одно и то же лицо не может замещать должность руководителя одной и той же организации более трех сроков, если иное не предусмотрено федеральными законами или решениями Президента Российской Федерации.</w:t>
      </w:r>
    </w:p>
    <w:p w:rsidR="009E684E" w:rsidRPr="009E684E" w:rsidRDefault="009E684E" w:rsidP="009E684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8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отдельных случаях, предусмотренных федеральными законами или решениями Президента Российской Федерации, срок пребывания руководителя государственной или муниципальной научной организации в своей должности по достижении им возраста, установленного </w:t>
      </w:r>
      <w:hyperlink r:id="rId5" w:history="1">
        <w:r w:rsidRPr="009E684E">
          <w:rPr>
            <w:rFonts w:ascii="Times New Roman" w:eastAsia="Times New Roman" w:hAnsi="Times New Roman" w:cs="Times New Roman"/>
            <w:color w:val="C22A04"/>
            <w:sz w:val="24"/>
            <w:szCs w:val="24"/>
            <w:u w:val="single"/>
            <w:lang w:eastAsia="ru-RU"/>
          </w:rPr>
          <w:t>частью второй</w:t>
        </w:r>
      </w:hyperlink>
      <w:r w:rsidRPr="009E684E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настоящей статьи, может быть продлен.</w:t>
      </w:r>
    </w:p>
    <w:p w:rsidR="009E684E" w:rsidRPr="009E684E" w:rsidRDefault="009E684E" w:rsidP="009E684E">
      <w:p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684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наряду с федеральными законами в настоящее время порядок может быть регламентирован решениями Президента Российской Федерации.</w:t>
      </w:r>
    </w:p>
    <w:p w:rsidR="002C056C" w:rsidRDefault="002C056C"/>
    <w:sectPr w:rsidR="002C0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84E"/>
    <w:rsid w:val="00130595"/>
    <w:rsid w:val="002C056C"/>
    <w:rsid w:val="009E684E"/>
    <w:rsid w:val="00C22396"/>
    <w:rsid w:val="00F61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8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2671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834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59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74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96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02581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03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60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1353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C83A9326E23FC76F253CBF75B56B78C2A5E3EE10F2C0323A294A57EB87943FD7C842249195F2D6CFCAB73B831A8D17B8D2055C0E87Ec9MF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procrf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2020-12-15T06:24:00Z</dcterms:created>
  <dcterms:modified xsi:type="dcterms:W3CDTF">2020-12-15T06:25:00Z</dcterms:modified>
</cp:coreProperties>
</file>