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ED1" w:rsidRPr="00A91ED1" w:rsidRDefault="00A91ED1" w:rsidP="00A91ED1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r w:rsidRPr="00A91ED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Внесены изменения в Уголовно-процессуальный кодекс Российской Федерации</w:t>
      </w:r>
    </w:p>
    <w:bookmarkEnd w:id="0"/>
    <w:p w:rsidR="00A91ED1" w:rsidRPr="00A91ED1" w:rsidRDefault="00A91ED1" w:rsidP="00A91ED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FFFF"/>
          <w:sz w:val="28"/>
          <w:szCs w:val="28"/>
          <w:shd w:val="clear" w:color="auto" w:fill="1E3685"/>
          <w:lang w:eastAsia="ru-RU"/>
        </w:rPr>
      </w:pPr>
    </w:p>
    <w:p w:rsidR="00A91ED1" w:rsidRPr="00A91ED1" w:rsidRDefault="00A91ED1" w:rsidP="00A91ED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1E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EFEFE"/>
          <w:lang w:eastAsia="ru-RU"/>
        </w:rPr>
        <w:t>Президент Российской Федерации подписал </w:t>
      </w:r>
      <w:r w:rsidRPr="00A91ED1"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  <w:lang w:eastAsia="ru-RU"/>
        </w:rPr>
        <w:t xml:space="preserve">Федеральный закон </w:t>
      </w:r>
      <w:r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  <w:lang w:eastAsia="ru-RU"/>
        </w:rPr>
        <w:t xml:space="preserve">              </w:t>
      </w:r>
      <w:r w:rsidRPr="00A91ED1"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  <w:lang w:eastAsia="ru-RU"/>
        </w:rPr>
        <w:t>«О внесении изменений в статьи 81.1 и 164 Уголовно-процессуального кодекса Российской Федерации».</w:t>
      </w:r>
    </w:p>
    <w:p w:rsidR="00A91ED1" w:rsidRPr="00A91ED1" w:rsidRDefault="00A91ED1" w:rsidP="00A91ED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1ED1"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  <w:lang w:eastAsia="ru-RU"/>
        </w:rPr>
        <w:t xml:space="preserve">Федеральный закон направлен на уточнение положений статей 81.1 </w:t>
      </w:r>
      <w:r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  <w:lang w:eastAsia="ru-RU"/>
        </w:rPr>
        <w:t xml:space="preserve">             </w:t>
      </w:r>
      <w:r w:rsidRPr="00A91ED1"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  <w:lang w:eastAsia="ru-RU"/>
        </w:rPr>
        <w:t>и 164 Уголовно-процессуального кодекса Российской Федерации в части, касающейся особого порядка признания предметов и документов вещественными доказательствами по уголовным делам о преступлениях, совершённых в сфере предпринимательской деятельности, и правил производства следственных действий по уголовным делам о таких преступлениях.</w:t>
      </w:r>
    </w:p>
    <w:p w:rsidR="00A91ED1" w:rsidRPr="00A91ED1" w:rsidRDefault="00A91ED1" w:rsidP="00A91ED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A91ED1"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  <w:lang w:eastAsia="ru-RU"/>
        </w:rPr>
        <w:t>В связи с этим содержание понятия «преступления, совершённые</w:t>
      </w:r>
      <w:r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  <w:lang w:eastAsia="ru-RU"/>
        </w:rPr>
        <w:t xml:space="preserve">               </w:t>
      </w:r>
      <w:r w:rsidRPr="00A91ED1"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  <w:lang w:eastAsia="ru-RU"/>
        </w:rPr>
        <w:t xml:space="preserve"> в сфере предпринимательской деятельности», используемое в названных статьях Кодекса, приводится в соответствие с разъяснением, которое дано этому понятию в части первой статьи 108 Кодекса, устанавливающей запрет применения меры пресечения в виде заключения под стражу в отношении лиц, привлекаемых к уголовной ответственности за совершение преступлений в сфере предпринимательской деятельности.</w:t>
      </w:r>
      <w:proofErr w:type="gramEnd"/>
    </w:p>
    <w:p w:rsidR="00A91ED1" w:rsidRPr="00A91ED1" w:rsidRDefault="00A91ED1" w:rsidP="00A91ED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1ED1"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  <w:lang w:eastAsia="ru-RU"/>
        </w:rPr>
        <w:t>Реализация положений Федерального закона позволит исключить случаи ошибочного толкования указанного понятия в правоприменительной практике и тем самым повысит гарантии защиты прав предпринимателей при осуществлении в отношении их уголовного преследования.</w:t>
      </w:r>
    </w:p>
    <w:p w:rsidR="002C056C" w:rsidRPr="00A91ED1" w:rsidRDefault="002C056C" w:rsidP="00A91ED1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sectPr w:rsidR="002C056C" w:rsidRPr="00A91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B45"/>
    <w:rsid w:val="00130595"/>
    <w:rsid w:val="002C056C"/>
    <w:rsid w:val="00A91ED1"/>
    <w:rsid w:val="00AB0B45"/>
    <w:rsid w:val="00C22396"/>
    <w:rsid w:val="00F6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9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8241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721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82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30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00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5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1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8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169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29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06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850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5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87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05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procrf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2021-04-02T06:20:00Z</dcterms:created>
  <dcterms:modified xsi:type="dcterms:W3CDTF">2021-04-02T06:20:00Z</dcterms:modified>
</cp:coreProperties>
</file>